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home 2</w:t>
      </w:r>
    </w:p>
    <w:p>
      <w:pPr/>
      <w:r>
        <w:rPr>
          <w:b w:val="1"/>
          <w:bCs w:val="1"/>
        </w:rPr>
        <w:t xml:space="preserve">graphit V2</w:t>
      </w:r>
    </w:p>
    <w:p/>
    <w:p>
      <w:pPr/>
      <w:r>
        <w:rPr/>
        <w:t xml:space="preserve">LED-Strahler ohne Sensor aus Kunststoff opal/HCMC IP44, 3000 K, Durchgangsverdrahtung in der Leuchte vorhanden;  mögliche Einstellungen: Reichweite des Sensors,  Abmessungen (L x B x H): 161 x 180 x 181 mm; Versorgungsspannung: 220 – 240 V / 50 – 60 Hz; Leistung: 13,7 W; Lichtstrom: 1550 lm; Farbtemperatur: 3000 K; Farbwiedergabeindex CRI: 80-89; Lebensdauer LED (25°C): &gt; 60000 Std; Lichtstromrückgang nach LM80: L70B10; LED Kühlsystem: HCMC (High Conductive Magnesium Composite); Lebensdauer LED (Max. °C): 50000 Std,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033095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graphit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2026-08-20T01:49:33+02:00</dcterms:created>
  <dcterms:modified xsi:type="dcterms:W3CDTF">2026-08-20T01:49:33+02:00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